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Fonts w:ascii="Arial" w:hAnsi="Arial" w:cs="Arial"/>
          <w:color w:val="101828"/>
          <w:sz w:val="27"/>
          <w:szCs w:val="27"/>
        </w:rPr>
        <w:t>The Oscoda County District Library Board of Trustees has reviewed and adopted the following Freedom to Read Statement</w:t>
      </w:r>
    </w:p>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Fonts w:ascii="Arial" w:hAnsi="Arial" w:cs="Arial"/>
          <w:color w:val="101828"/>
          <w:sz w:val="27"/>
          <w:szCs w:val="27"/>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Fonts w:ascii="Arial" w:hAnsi="Arial" w:cs="Arial"/>
          <w:color w:val="101828"/>
          <w:sz w:val="27"/>
          <w:szCs w:val="27"/>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Fonts w:ascii="Arial" w:hAnsi="Arial" w:cs="Arial"/>
          <w:color w:val="101828"/>
          <w:sz w:val="27"/>
          <w:szCs w:val="27"/>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Fonts w:ascii="Arial" w:hAnsi="Arial" w:cs="Arial"/>
          <w:color w:val="101828"/>
          <w:sz w:val="27"/>
          <w:szCs w:val="27"/>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bookmarkStart w:id="0" w:name="_GoBack"/>
      <w:r>
        <w:rPr>
          <w:rFonts w:ascii="Arial" w:hAnsi="Arial" w:cs="Arial"/>
          <w:color w:val="101828"/>
          <w:sz w:val="27"/>
          <w:szCs w:val="27"/>
        </w:rPr>
        <w:t xml:space="preserve">Now as always in our history, reading is among our greatest freedoms. The </w:t>
      </w:r>
      <w:bookmarkEnd w:id="0"/>
      <w:r>
        <w:rPr>
          <w:rFonts w:ascii="Arial" w:hAnsi="Arial" w:cs="Arial"/>
          <w:color w:val="101828"/>
          <w:sz w:val="27"/>
          <w:szCs w:val="27"/>
        </w:rPr>
        <w:t xml:space="preserve">freedom to read and write is almost the only means for making generally available ideas or manners of expression that can initially command only a </w:t>
      </w:r>
      <w:r>
        <w:rPr>
          <w:rFonts w:ascii="Arial" w:hAnsi="Arial" w:cs="Arial"/>
          <w:color w:val="101828"/>
          <w:sz w:val="27"/>
          <w:szCs w:val="27"/>
        </w:rPr>
        <w:lastRenderedPageBreak/>
        <w:t>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Fonts w:ascii="Arial" w:hAnsi="Arial" w:cs="Arial"/>
          <w:color w:val="101828"/>
          <w:sz w:val="27"/>
          <w:szCs w:val="27"/>
        </w:rPr>
        <w:t>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Fonts w:ascii="Arial" w:hAnsi="Arial" w:cs="Arial"/>
          <w:color w:val="101828"/>
          <w:sz w:val="27"/>
          <w:szCs w:val="27"/>
        </w:rPr>
        <w:t>The freedom to read is guaranteed by the Constitution. Those with faith in free people will stand firm on these constitutional guarantees of essential rights and will exercise the responsibilities that accompany these rights.</w:t>
      </w:r>
    </w:p>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Fonts w:ascii="Arial" w:hAnsi="Arial" w:cs="Arial"/>
          <w:color w:val="101828"/>
          <w:sz w:val="27"/>
          <w:szCs w:val="27"/>
        </w:rPr>
        <w:t>We therefore affirm these propositions:</w:t>
      </w:r>
    </w:p>
    <w:p w:rsidR="005439DC" w:rsidRDefault="005439DC" w:rsidP="005439DC">
      <w:pPr>
        <w:pStyle w:val="NormalWeb"/>
        <w:numPr>
          <w:ilvl w:val="0"/>
          <w:numId w:val="1"/>
        </w:numPr>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Style w:val="Emphasis"/>
          <w:rFonts w:ascii="Arial" w:hAnsi="Arial" w:cs="Arial"/>
          <w:color w:val="101828"/>
          <w:sz w:val="27"/>
          <w:szCs w:val="27"/>
          <w:bdr w:val="single" w:sz="2" w:space="0" w:color="E5E7EB" w:frame="1"/>
        </w:rPr>
        <w:t>It is in the public interest for publishers and librarians to make available the widest diversity of views and expressions, including those that are unorthodox, unpopular, or considered dangerous by the majority.</w:t>
      </w:r>
    </w:p>
    <w:p w:rsidR="005439DC" w:rsidRDefault="005439DC" w:rsidP="005439DC">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01828"/>
          <w:sz w:val="27"/>
          <w:szCs w:val="27"/>
        </w:rPr>
      </w:pPr>
      <w:r>
        <w:rPr>
          <w:rFonts w:ascii="Arial" w:hAnsi="Arial" w:cs="Arial"/>
          <w:color w:val="101828"/>
          <w:sz w:val="27"/>
          <w:szCs w:val="27"/>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5439DC" w:rsidRDefault="005439DC" w:rsidP="005439DC">
      <w:pPr>
        <w:pStyle w:val="NormalWeb"/>
        <w:numPr>
          <w:ilvl w:val="0"/>
          <w:numId w:val="1"/>
        </w:numPr>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Style w:val="Emphasis"/>
          <w:rFonts w:ascii="Arial" w:hAnsi="Arial" w:cs="Arial"/>
          <w:color w:val="101828"/>
          <w:sz w:val="27"/>
          <w:szCs w:val="27"/>
          <w:bdr w:val="single" w:sz="2" w:space="0" w:color="E5E7EB" w:frame="1"/>
        </w:rPr>
        <w:t xml:space="preserve">Publishers, librarians, and booksellers do not need to endorse every idea or presentation they make available. It would conflict with the public interest for them to establish their own political, moral, or aesthetic </w:t>
      </w:r>
      <w:r>
        <w:rPr>
          <w:rStyle w:val="Emphasis"/>
          <w:rFonts w:ascii="Arial" w:hAnsi="Arial" w:cs="Arial"/>
          <w:color w:val="101828"/>
          <w:sz w:val="27"/>
          <w:szCs w:val="27"/>
          <w:bdr w:val="single" w:sz="2" w:space="0" w:color="E5E7EB" w:frame="1"/>
        </w:rPr>
        <w:lastRenderedPageBreak/>
        <w:t>views as a standard for determining what should be published or circulated.</w:t>
      </w:r>
    </w:p>
    <w:p w:rsidR="005439DC" w:rsidRDefault="005439DC" w:rsidP="005439DC">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01828"/>
          <w:sz w:val="27"/>
          <w:szCs w:val="27"/>
        </w:rPr>
      </w:pPr>
      <w:r>
        <w:rPr>
          <w:rFonts w:ascii="Arial" w:hAnsi="Arial" w:cs="Arial"/>
          <w:color w:val="101828"/>
          <w:sz w:val="27"/>
          <w:szCs w:val="27"/>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5439DC" w:rsidRDefault="005439DC" w:rsidP="005439DC">
      <w:pPr>
        <w:pStyle w:val="NormalWeb"/>
        <w:numPr>
          <w:ilvl w:val="0"/>
          <w:numId w:val="1"/>
        </w:numPr>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Style w:val="Emphasis"/>
          <w:rFonts w:ascii="Arial" w:hAnsi="Arial" w:cs="Arial"/>
          <w:color w:val="101828"/>
          <w:sz w:val="27"/>
          <w:szCs w:val="27"/>
          <w:bdr w:val="single" w:sz="2" w:space="0" w:color="E5E7EB" w:frame="1"/>
        </w:rPr>
        <w:t>It is contrary to the public interest for publishers or librarians to bar access to writings on the basis of the personal history or political affiliations of the author.</w:t>
      </w:r>
    </w:p>
    <w:p w:rsidR="005439DC" w:rsidRDefault="005439DC" w:rsidP="005439DC">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01828"/>
          <w:sz w:val="27"/>
          <w:szCs w:val="27"/>
        </w:rPr>
      </w:pPr>
      <w:r>
        <w:rPr>
          <w:rFonts w:ascii="Arial" w:hAnsi="Arial" w:cs="Arial"/>
          <w:color w:val="101828"/>
          <w:sz w:val="27"/>
          <w:szCs w:val="27"/>
        </w:rPr>
        <w:t>No art or literature can flourish if it is to be measured by the political views or private lives of its creators. No society of free people can flourish that draws up lists of writers to whom it will not listen, whatever they may have to say.</w:t>
      </w:r>
    </w:p>
    <w:p w:rsidR="005439DC" w:rsidRDefault="005439DC" w:rsidP="005439DC">
      <w:pPr>
        <w:pStyle w:val="NormalWeb"/>
        <w:numPr>
          <w:ilvl w:val="0"/>
          <w:numId w:val="1"/>
        </w:numPr>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Style w:val="Emphasis"/>
          <w:rFonts w:ascii="Arial" w:hAnsi="Arial" w:cs="Arial"/>
          <w:color w:val="101828"/>
          <w:sz w:val="27"/>
          <w:szCs w:val="27"/>
          <w:bdr w:val="single" w:sz="2" w:space="0" w:color="E5E7EB" w:frame="1"/>
        </w:rPr>
        <w:t>There is no place in our society for efforts to coerce the taste of others, to confine adults to the reading matter deemed suitable for adolescents, or to inhibit the efforts of writers to achieve artistic expression.</w:t>
      </w:r>
    </w:p>
    <w:p w:rsidR="005439DC" w:rsidRDefault="005439DC" w:rsidP="005439DC">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01828"/>
          <w:sz w:val="27"/>
          <w:szCs w:val="27"/>
        </w:rPr>
      </w:pPr>
      <w:r>
        <w:rPr>
          <w:rFonts w:ascii="Arial" w:hAnsi="Arial" w:cs="Arial"/>
          <w:color w:val="101828"/>
          <w:sz w:val="27"/>
          <w:szCs w:val="27"/>
        </w:rPr>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5439DC" w:rsidRDefault="005439DC" w:rsidP="005439DC">
      <w:pPr>
        <w:pStyle w:val="NormalWeb"/>
        <w:numPr>
          <w:ilvl w:val="0"/>
          <w:numId w:val="1"/>
        </w:numPr>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Style w:val="Emphasis"/>
          <w:rFonts w:ascii="Arial" w:hAnsi="Arial" w:cs="Arial"/>
          <w:color w:val="101828"/>
          <w:sz w:val="27"/>
          <w:szCs w:val="27"/>
          <w:bdr w:val="single" w:sz="2" w:space="0" w:color="E5E7EB" w:frame="1"/>
        </w:rPr>
        <w:t>It is not in the public interest to force a reader to accept the prejudgment of a label characterizing any expression or its author as subversive or dangerous.</w:t>
      </w:r>
    </w:p>
    <w:p w:rsidR="005439DC" w:rsidRDefault="005439DC" w:rsidP="005439DC">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01828"/>
          <w:sz w:val="27"/>
          <w:szCs w:val="27"/>
        </w:rPr>
      </w:pPr>
      <w:r>
        <w:rPr>
          <w:rFonts w:ascii="Arial" w:hAnsi="Arial" w:cs="Arial"/>
          <w:color w:val="101828"/>
          <w:sz w:val="27"/>
          <w:szCs w:val="27"/>
        </w:rPr>
        <w:lastRenderedPageBreak/>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rsidR="005439DC" w:rsidRDefault="005439DC" w:rsidP="005439DC">
      <w:pPr>
        <w:pStyle w:val="NormalWeb"/>
        <w:numPr>
          <w:ilvl w:val="0"/>
          <w:numId w:val="1"/>
        </w:numPr>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Style w:val="Emphasis"/>
          <w:rFonts w:ascii="Arial" w:hAnsi="Arial" w:cs="Arial"/>
          <w:color w:val="101828"/>
          <w:sz w:val="27"/>
          <w:szCs w:val="27"/>
          <w:bdr w:val="single" w:sz="2" w:space="0" w:color="E5E7EB" w:frame="1"/>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rsidR="005439DC" w:rsidRDefault="005439DC" w:rsidP="005439DC">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01828"/>
          <w:sz w:val="27"/>
          <w:szCs w:val="27"/>
        </w:rPr>
      </w:pPr>
      <w:r>
        <w:rPr>
          <w:rFonts w:ascii="Arial" w:hAnsi="Arial" w:cs="Arial"/>
          <w:color w:val="101828"/>
          <w:sz w:val="27"/>
          <w:szCs w:val="27"/>
        </w:rP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5439DC" w:rsidRDefault="005439DC" w:rsidP="005439DC">
      <w:pPr>
        <w:pStyle w:val="NormalWeb"/>
        <w:numPr>
          <w:ilvl w:val="0"/>
          <w:numId w:val="1"/>
        </w:numPr>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Style w:val="Emphasis"/>
          <w:rFonts w:ascii="Arial" w:hAnsi="Arial" w:cs="Arial"/>
          <w:color w:val="101828"/>
          <w:sz w:val="27"/>
          <w:szCs w:val="27"/>
          <w:bdr w:val="single" w:sz="2" w:space="0" w:color="E5E7EB" w:frame="1"/>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rsidR="005439DC" w:rsidRDefault="005439DC" w:rsidP="005439DC">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01828"/>
          <w:sz w:val="27"/>
          <w:szCs w:val="27"/>
        </w:rPr>
      </w:pPr>
      <w:r>
        <w:rPr>
          <w:rFonts w:ascii="Arial" w:hAnsi="Arial" w:cs="Arial"/>
          <w:color w:val="101828"/>
          <w:sz w:val="27"/>
          <w:szCs w:val="27"/>
        </w:rP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5439DC" w:rsidRDefault="005439DC" w:rsidP="005439DC">
      <w:pPr>
        <w:pStyle w:val="NormalWeb"/>
        <w:pBdr>
          <w:top w:val="single" w:sz="2" w:space="0" w:color="E5E7EB"/>
          <w:left w:val="single" w:sz="2" w:space="0" w:color="E5E7EB"/>
          <w:bottom w:val="single" w:sz="2" w:space="0" w:color="E5E7EB"/>
          <w:right w:val="single" w:sz="2" w:space="0" w:color="E5E7EB"/>
        </w:pBdr>
        <w:rPr>
          <w:rFonts w:ascii="Arial" w:hAnsi="Arial" w:cs="Arial"/>
          <w:color w:val="101828"/>
          <w:sz w:val="27"/>
          <w:szCs w:val="27"/>
        </w:rPr>
      </w:pPr>
      <w:r>
        <w:rPr>
          <w:rFonts w:ascii="Arial" w:hAnsi="Arial" w:cs="Arial"/>
          <w:color w:val="101828"/>
          <w:sz w:val="27"/>
          <w:szCs w:val="27"/>
        </w:rPr>
        <w:lastRenderedPageBreak/>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C4305D" w:rsidRDefault="00C4305D"/>
    <w:sectPr w:rsidR="00C430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41" w:rsidRDefault="00BC5841" w:rsidP="005439DC">
      <w:pPr>
        <w:spacing w:after="0" w:line="240" w:lineRule="auto"/>
      </w:pPr>
      <w:r>
        <w:separator/>
      </w:r>
    </w:p>
  </w:endnote>
  <w:endnote w:type="continuationSeparator" w:id="0">
    <w:p w:rsidR="00BC5841" w:rsidRDefault="00BC5841" w:rsidP="0054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DC" w:rsidRDefault="004F7997">
    <w:pPr>
      <w:pStyle w:val="Footer"/>
    </w:pPr>
    <w:r>
      <w:t>Approved June 10,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41" w:rsidRDefault="00BC5841" w:rsidP="005439DC">
      <w:pPr>
        <w:spacing w:after="0" w:line="240" w:lineRule="auto"/>
      </w:pPr>
      <w:r>
        <w:separator/>
      </w:r>
    </w:p>
  </w:footnote>
  <w:footnote w:type="continuationSeparator" w:id="0">
    <w:p w:rsidR="00BC5841" w:rsidRDefault="00BC5841" w:rsidP="0054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A1" w:rsidRDefault="005439DC" w:rsidP="005757A1">
    <w:pPr>
      <w:pStyle w:val="Header"/>
    </w:pPr>
    <w:r>
      <w:t>POL 1.005   FREEDOM TO READ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77B65"/>
    <w:multiLevelType w:val="multilevel"/>
    <w:tmpl w:val="3C727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DC"/>
    <w:rsid w:val="004F7997"/>
    <w:rsid w:val="005439DC"/>
    <w:rsid w:val="005757A1"/>
    <w:rsid w:val="008623E5"/>
    <w:rsid w:val="00BC5841"/>
    <w:rsid w:val="00C4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FD7F"/>
  <w15:chartTrackingRefBased/>
  <w15:docId w15:val="{9CD89469-909E-4931-AB5E-E529FA5D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9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39DC"/>
    <w:rPr>
      <w:i/>
      <w:iCs/>
    </w:rPr>
  </w:style>
  <w:style w:type="paragraph" w:styleId="Header">
    <w:name w:val="header"/>
    <w:basedOn w:val="Normal"/>
    <w:link w:val="HeaderChar"/>
    <w:uiPriority w:val="99"/>
    <w:unhideWhenUsed/>
    <w:rsid w:val="0054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9DC"/>
  </w:style>
  <w:style w:type="paragraph" w:styleId="Footer">
    <w:name w:val="footer"/>
    <w:basedOn w:val="Normal"/>
    <w:link w:val="FooterChar"/>
    <w:uiPriority w:val="99"/>
    <w:unhideWhenUsed/>
    <w:rsid w:val="0054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Knepp</dc:creator>
  <cp:keywords/>
  <dc:description/>
  <cp:lastModifiedBy>Amy Knepp</cp:lastModifiedBy>
  <cp:revision>2</cp:revision>
  <dcterms:created xsi:type="dcterms:W3CDTF">2024-10-31T20:01:00Z</dcterms:created>
  <dcterms:modified xsi:type="dcterms:W3CDTF">2024-10-31T20:01:00Z</dcterms:modified>
</cp:coreProperties>
</file>